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E" w:rsidRPr="000E5AD0" w:rsidRDefault="00B07C8E" w:rsidP="000E5AD0">
      <w:pPr>
        <w:shd w:val="clear" w:color="auto" w:fill="FFFFFF"/>
        <w:spacing w:after="225" w:line="300" w:lineRule="atLeast"/>
        <w:textAlignment w:val="baseline"/>
        <w:outlineLvl w:val="2"/>
        <w:rPr>
          <w:rFonts w:ascii="Arial" w:hAnsi="Arial" w:cs="Arial"/>
          <w:color w:val="333333"/>
          <w:sz w:val="30"/>
          <w:szCs w:val="30"/>
          <w:lang w:eastAsia="ru-RU"/>
        </w:rPr>
      </w:pPr>
      <w:r w:rsidRPr="000E5AD0">
        <w:rPr>
          <w:rFonts w:ascii="Arial" w:hAnsi="Arial" w:cs="Arial"/>
          <w:color w:val="333333"/>
          <w:sz w:val="30"/>
          <w:szCs w:val="30"/>
          <w:lang w:eastAsia="ru-RU"/>
        </w:rPr>
        <w:t xml:space="preserve"> «Информация о корректировке тарифа на услуги по передаче электрической энергии по единой национальной (общероссийской) электрической сети, оказываемые ОАО "ФСК ЕЭС"»</w:t>
      </w:r>
    </w:p>
    <w:p w:rsidR="00B07C8E" w:rsidRPr="000E5AD0" w:rsidRDefault="00B07C8E" w:rsidP="000E5AD0">
      <w:pPr>
        <w:shd w:val="clear" w:color="auto" w:fill="FFFFFF"/>
        <w:spacing w:after="0" w:line="225" w:lineRule="atLeast"/>
        <w:jc w:val="both"/>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Приказом  ФСТ России от 21.05.2012г. №114-э/2 «О внесении изменений в приказ Федеральной службы по тарифам от 29.12.2009 г. № 552-э/2 «Об утверждении тарифов на услуги по передаче электрической энергии по единой национальной (общероссийской) электрической сети, оказываемые ОАО «Федеральная сетевая компания Единой энергетической системы», на долгосрочный период регулирования 2010-2014 гг.» скорректированы тарифы на услуги по передаче электрической энергии по единой национальной (общероссийской) электрической сети (далее – ЕНЭС), оказываемые ОАО «ФСК ЕЭС», с 01.07.2012г. и на последующие годы долгосрочного периода регулирования.</w:t>
      </w:r>
    </w:p>
    <w:p w:rsidR="00B07C8E" w:rsidRPr="000E5AD0" w:rsidRDefault="00B07C8E" w:rsidP="000E5AD0">
      <w:pPr>
        <w:shd w:val="clear" w:color="auto" w:fill="FFFFFF"/>
        <w:spacing w:after="105" w:line="225" w:lineRule="atLeast"/>
        <w:jc w:val="both"/>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Согласно указанному выше приказу ставки на содержание объектов ЕНЭС тарифа на услуги по передаче электрической энергии по ЕНЭС, дифференцированного для субъектов Российской Федерации, включенных в перечень, предусмотренный в приложении к Основам ценообразования, составляют:</w:t>
      </w:r>
    </w:p>
    <w:tbl>
      <w:tblPr>
        <w:tblW w:w="8550" w:type="dxa"/>
        <w:tblBorders>
          <w:top w:val="single" w:sz="12" w:space="0" w:color="999999"/>
        </w:tblBorders>
        <w:tblCellMar>
          <w:left w:w="0" w:type="dxa"/>
          <w:right w:w="0" w:type="dxa"/>
        </w:tblCellMar>
        <w:tblLook w:val="00A0"/>
      </w:tblPr>
      <w:tblGrid>
        <w:gridCol w:w="8144"/>
        <w:gridCol w:w="203"/>
        <w:gridCol w:w="203"/>
      </w:tblGrid>
      <w:tr w:rsidR="00B07C8E" w:rsidRPr="00E165E8" w:rsidTr="000E5AD0">
        <w:tc>
          <w:tcPr>
            <w:tcW w:w="9300"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tbl>
            <w:tblPr>
              <w:tblW w:w="7710" w:type="dxa"/>
              <w:tblBorders>
                <w:top w:val="single" w:sz="12" w:space="0" w:color="999999"/>
              </w:tblBorders>
              <w:tblCellMar>
                <w:left w:w="0" w:type="dxa"/>
                <w:right w:w="0" w:type="dxa"/>
              </w:tblCellMar>
              <w:tblLook w:val="00A0"/>
            </w:tblPr>
            <w:tblGrid>
              <w:gridCol w:w="4019"/>
              <w:gridCol w:w="3691"/>
            </w:tblGrid>
            <w:tr w:rsidR="00B07C8E" w:rsidRPr="00E165E8">
              <w:tc>
                <w:tcPr>
                  <w:tcW w:w="481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Период регулирования</w:t>
                  </w:r>
                </w:p>
              </w:tc>
              <w:tc>
                <w:tcPr>
                  <w:tcW w:w="439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Ставка тарифа, руб./МВт*мес.</w:t>
                  </w:r>
                </w:p>
              </w:tc>
            </w:tr>
            <w:tr w:rsidR="00B07C8E" w:rsidRPr="00E165E8">
              <w:tc>
                <w:tcPr>
                  <w:tcW w:w="481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с 1 июля 2012 года</w:t>
                  </w:r>
                </w:p>
              </w:tc>
              <w:tc>
                <w:tcPr>
                  <w:tcW w:w="439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48 540,01</w:t>
                  </w:r>
                </w:p>
              </w:tc>
            </w:tr>
            <w:tr w:rsidR="00B07C8E" w:rsidRPr="00E165E8">
              <w:tc>
                <w:tcPr>
                  <w:tcW w:w="481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с 1 июля 2013 года</w:t>
                  </w:r>
                </w:p>
              </w:tc>
              <w:tc>
                <w:tcPr>
                  <w:tcW w:w="439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53 119,60</w:t>
                  </w:r>
                </w:p>
              </w:tc>
            </w:tr>
            <w:tr w:rsidR="00B07C8E" w:rsidRPr="00E165E8">
              <w:tc>
                <w:tcPr>
                  <w:tcW w:w="481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с 1 июля 2014 года</w:t>
                  </w:r>
                </w:p>
              </w:tc>
              <w:tc>
                <w:tcPr>
                  <w:tcW w:w="439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58 124,85</w:t>
                  </w:r>
                </w:p>
              </w:tc>
            </w:tr>
          </w:tbl>
          <w:p w:rsidR="00B07C8E" w:rsidRPr="000E5AD0" w:rsidRDefault="00B07C8E" w:rsidP="000E5AD0">
            <w:pPr>
              <w:spacing w:after="105" w:line="327" w:lineRule="atLeast"/>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 </w:t>
            </w:r>
          </w:p>
        </w:tc>
        <w:tc>
          <w:tcPr>
            <w:tcW w:w="22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 </w:t>
            </w:r>
          </w:p>
        </w:tc>
        <w:tc>
          <w:tcPr>
            <w:tcW w:w="22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 </w:t>
            </w:r>
          </w:p>
        </w:tc>
      </w:tr>
    </w:tbl>
    <w:p w:rsidR="00B07C8E" w:rsidRPr="000E5AD0" w:rsidRDefault="00B07C8E" w:rsidP="000E5AD0">
      <w:pPr>
        <w:shd w:val="clear" w:color="auto" w:fill="FFFFFF"/>
        <w:spacing w:after="105" w:line="225" w:lineRule="atLeast"/>
        <w:jc w:val="both"/>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Ставки тарифа на услуги по передаче электрической энергии на содержание объектов электросетевого хозяйства, входящих в ЕНЭС, для субъектов Российской Федерации, не включенных в перечень, предусмотренный в приложении к Основам ценообразования, составляют:</w:t>
      </w:r>
    </w:p>
    <w:tbl>
      <w:tblPr>
        <w:tblW w:w="8550" w:type="dxa"/>
        <w:tblBorders>
          <w:top w:val="single" w:sz="12" w:space="0" w:color="999999"/>
        </w:tblBorders>
        <w:tblCellMar>
          <w:left w:w="0" w:type="dxa"/>
          <w:right w:w="0" w:type="dxa"/>
        </w:tblCellMar>
        <w:tblLook w:val="00A0"/>
      </w:tblPr>
      <w:tblGrid>
        <w:gridCol w:w="4518"/>
        <w:gridCol w:w="4032"/>
      </w:tblGrid>
      <w:tr w:rsidR="00B07C8E" w:rsidRPr="00E165E8" w:rsidTr="000E5AD0">
        <w:tc>
          <w:tcPr>
            <w:tcW w:w="493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Период регулирования</w:t>
            </w:r>
          </w:p>
        </w:tc>
        <w:tc>
          <w:tcPr>
            <w:tcW w:w="439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Ставка тарифа, руб./МВт*мес.</w:t>
            </w:r>
          </w:p>
        </w:tc>
      </w:tr>
      <w:tr w:rsidR="00B07C8E" w:rsidRPr="00E165E8" w:rsidTr="000E5AD0">
        <w:tc>
          <w:tcPr>
            <w:tcW w:w="493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 1 июля 2012 года</w:t>
            </w:r>
          </w:p>
        </w:tc>
        <w:tc>
          <w:tcPr>
            <w:tcW w:w="439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123 328,44</w:t>
            </w:r>
          </w:p>
        </w:tc>
      </w:tr>
      <w:tr w:rsidR="00B07C8E" w:rsidRPr="00E165E8" w:rsidTr="000E5AD0">
        <w:tc>
          <w:tcPr>
            <w:tcW w:w="493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 1 июля 2013 года</w:t>
            </w:r>
          </w:p>
        </w:tc>
        <w:tc>
          <w:tcPr>
            <w:tcW w:w="439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134 964,06</w:t>
            </w:r>
          </w:p>
        </w:tc>
      </w:tr>
      <w:tr w:rsidR="00B07C8E" w:rsidRPr="00E165E8" w:rsidTr="000E5AD0">
        <w:tc>
          <w:tcPr>
            <w:tcW w:w="493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с 1 июля 2014 года</w:t>
            </w:r>
          </w:p>
        </w:tc>
        <w:tc>
          <w:tcPr>
            <w:tcW w:w="4395" w:type="dxa"/>
            <w:tcBorders>
              <w:top w:val="single" w:sz="6" w:space="0" w:color="999999"/>
              <w:left w:val="nil"/>
              <w:bottom w:val="nil"/>
              <w:right w:val="nil"/>
            </w:tcBorders>
            <w:shd w:val="clear" w:color="auto" w:fill="FFFFFF"/>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147 681,20</w:t>
            </w:r>
          </w:p>
        </w:tc>
      </w:tr>
    </w:tbl>
    <w:p w:rsidR="00B07C8E" w:rsidRPr="000E5AD0" w:rsidRDefault="00B07C8E" w:rsidP="000E5AD0">
      <w:pPr>
        <w:shd w:val="clear" w:color="auto" w:fill="FFFFFF"/>
        <w:spacing w:after="105" w:line="225" w:lineRule="atLeast"/>
        <w:jc w:val="both"/>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При этом, корректировка тарифов на услуги по передаче электрической энергии по ЕНЭС, оказываемые ОАО «ФСК ЕЭС», произведена ФСТ России на основании следующих установленных долгосрочных параметров регулирования тарифов на услуги по передаче электрической энергии по ЕНЭС, оказываемые ОАО «ФСК ЕЭС», на долгосрочный период 2010-</w:t>
      </w:r>
      <w:smartTag w:uri="urn:schemas-microsoft-com:office:smarttags" w:element="metricconverter">
        <w:smartTagPr>
          <w:attr w:name="ProductID" w:val="2014 г"/>
        </w:smartTagPr>
        <w:r w:rsidRPr="000E5AD0">
          <w:rPr>
            <w:rFonts w:ascii="Arial" w:hAnsi="Arial" w:cs="Arial"/>
            <w:color w:val="333333"/>
            <w:sz w:val="17"/>
            <w:szCs w:val="17"/>
            <w:lang w:eastAsia="ru-RU"/>
          </w:rPr>
          <w:t>2014 г</w:t>
        </w:r>
      </w:smartTag>
      <w:r w:rsidRPr="000E5AD0">
        <w:rPr>
          <w:rFonts w:ascii="Arial" w:hAnsi="Arial" w:cs="Arial"/>
          <w:color w:val="333333"/>
          <w:sz w:val="17"/>
          <w:szCs w:val="17"/>
          <w:lang w:eastAsia="ru-RU"/>
        </w:rPr>
        <w:t>.г.:</w:t>
      </w:r>
    </w:p>
    <w:p w:rsidR="00B07C8E" w:rsidRPr="000E5AD0" w:rsidRDefault="00B07C8E" w:rsidP="000E5AD0">
      <w:pPr>
        <w:shd w:val="clear" w:color="auto" w:fill="FFFFFF"/>
        <w:spacing w:after="105" w:line="327" w:lineRule="atLeast"/>
        <w:textAlignment w:val="baseline"/>
        <w:rPr>
          <w:rFonts w:ascii="Arial" w:hAnsi="Arial" w:cs="Arial"/>
          <w:color w:val="006699"/>
          <w:sz w:val="17"/>
          <w:szCs w:val="17"/>
          <w:lang w:eastAsia="ru-RU"/>
        </w:rPr>
      </w:pPr>
      <w:r w:rsidRPr="000E5AD0">
        <w:rPr>
          <w:rFonts w:ascii="Arial" w:hAnsi="Arial" w:cs="Arial"/>
          <w:color w:val="006699"/>
          <w:sz w:val="17"/>
          <w:szCs w:val="17"/>
          <w:lang w:eastAsia="ru-RU"/>
        </w:rPr>
        <w:t>Открыть таблицу в новом окне</w:t>
      </w:r>
    </w:p>
    <w:tbl>
      <w:tblPr>
        <w:tblW w:w="9570" w:type="dxa"/>
        <w:tblBorders>
          <w:top w:val="single" w:sz="12" w:space="0" w:color="999999"/>
        </w:tblBorders>
        <w:tblCellMar>
          <w:left w:w="0" w:type="dxa"/>
          <w:right w:w="0" w:type="dxa"/>
        </w:tblCellMar>
        <w:tblLook w:val="00A0"/>
      </w:tblPr>
      <w:tblGrid>
        <w:gridCol w:w="3270"/>
        <w:gridCol w:w="1410"/>
        <w:gridCol w:w="1335"/>
        <w:gridCol w:w="1335"/>
        <w:gridCol w:w="1110"/>
        <w:gridCol w:w="1110"/>
      </w:tblGrid>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Долгосрочные параметры регулирования</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smartTag w:uri="urn:schemas-microsoft-com:office:smarttags" w:element="metricconverter">
              <w:smartTagPr>
                <w:attr w:name="ProductID" w:val="2010 г"/>
              </w:smartTagPr>
              <w:r w:rsidRPr="000E5AD0">
                <w:rPr>
                  <w:rFonts w:ascii="Times New Roman" w:hAnsi="Times New Roman"/>
                  <w:sz w:val="17"/>
                  <w:szCs w:val="17"/>
                  <w:lang w:eastAsia="ru-RU"/>
                </w:rPr>
                <w:t>2010 г</w:t>
              </w:r>
            </w:smartTag>
            <w:r w:rsidRPr="000E5AD0">
              <w:rPr>
                <w:rFonts w:ascii="Times New Roman" w:hAnsi="Times New Roman"/>
                <w:sz w:val="17"/>
                <w:szCs w:val="17"/>
                <w:lang w:eastAsia="ru-RU"/>
              </w:rPr>
              <w:t>.</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smartTag w:uri="urn:schemas-microsoft-com:office:smarttags" w:element="metricconverter">
              <w:smartTagPr>
                <w:attr w:name="ProductID" w:val="2011 г"/>
              </w:smartTagPr>
              <w:r w:rsidRPr="000E5AD0">
                <w:rPr>
                  <w:rFonts w:ascii="Times New Roman" w:hAnsi="Times New Roman"/>
                  <w:sz w:val="17"/>
                  <w:szCs w:val="17"/>
                  <w:lang w:eastAsia="ru-RU"/>
                </w:rPr>
                <w:t>2011 г</w:t>
              </w:r>
            </w:smartTag>
            <w:r w:rsidRPr="000E5AD0">
              <w:rPr>
                <w:rFonts w:ascii="Times New Roman" w:hAnsi="Times New Roman"/>
                <w:sz w:val="17"/>
                <w:szCs w:val="17"/>
                <w:lang w:eastAsia="ru-RU"/>
              </w:rPr>
              <w:t>.</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smartTag w:uri="urn:schemas-microsoft-com:office:smarttags" w:element="metricconverter">
              <w:smartTagPr>
                <w:attr w:name="ProductID" w:val="2012 г"/>
              </w:smartTagPr>
              <w:r w:rsidRPr="000E5AD0">
                <w:rPr>
                  <w:rFonts w:ascii="Times New Roman" w:hAnsi="Times New Roman"/>
                  <w:sz w:val="17"/>
                  <w:szCs w:val="17"/>
                  <w:lang w:eastAsia="ru-RU"/>
                </w:rPr>
                <w:t>2012 г</w:t>
              </w:r>
            </w:smartTag>
            <w:r w:rsidRPr="000E5AD0">
              <w:rPr>
                <w:rFonts w:ascii="Times New Roman" w:hAnsi="Times New Roman"/>
                <w:sz w:val="17"/>
                <w:szCs w:val="17"/>
                <w:lang w:eastAsia="ru-RU"/>
              </w:rPr>
              <w:t>.</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smartTag w:uri="urn:schemas-microsoft-com:office:smarttags" w:element="metricconverter">
              <w:smartTagPr>
                <w:attr w:name="ProductID" w:val="2013 г"/>
              </w:smartTagPr>
              <w:r w:rsidRPr="000E5AD0">
                <w:rPr>
                  <w:rFonts w:ascii="Times New Roman" w:hAnsi="Times New Roman"/>
                  <w:sz w:val="17"/>
                  <w:szCs w:val="17"/>
                  <w:lang w:eastAsia="ru-RU"/>
                </w:rPr>
                <w:t>2013 г</w:t>
              </w:r>
            </w:smartTag>
            <w:r w:rsidRPr="000E5AD0">
              <w:rPr>
                <w:rFonts w:ascii="Times New Roman" w:hAnsi="Times New Roman"/>
                <w:sz w:val="17"/>
                <w:szCs w:val="17"/>
                <w:lang w:eastAsia="ru-RU"/>
              </w:rPr>
              <w:t>.</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smartTag w:uri="urn:schemas-microsoft-com:office:smarttags" w:element="metricconverter">
              <w:smartTagPr>
                <w:attr w:name="ProductID" w:val="2014 г"/>
              </w:smartTagPr>
              <w:r w:rsidRPr="000E5AD0">
                <w:rPr>
                  <w:rFonts w:ascii="Times New Roman" w:hAnsi="Times New Roman"/>
                  <w:sz w:val="17"/>
                  <w:szCs w:val="17"/>
                  <w:lang w:eastAsia="ru-RU"/>
                </w:rPr>
                <w:t>2014 г</w:t>
              </w:r>
            </w:smartTag>
            <w:r w:rsidRPr="000E5AD0">
              <w:rPr>
                <w:rFonts w:ascii="Times New Roman" w:hAnsi="Times New Roman"/>
                <w:sz w:val="17"/>
                <w:szCs w:val="17"/>
                <w:lang w:eastAsia="ru-RU"/>
              </w:rPr>
              <w:t>.</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Базовый уровень операционных расходов, млн. руб.</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25 160,59</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25 160,59</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25 160,59</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25 160,59</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25 160,59</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Размер инвестированного капитала, млн. руб.</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647 565,61</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647 565,61</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647 565,61</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647 565,61</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647 565,61</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Чистый оборотный капитал, млн. руб.</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5 283,76</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6 094,56</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6 429,76</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6 751,25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7 055,05</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Норма доходности на капитал, инвестированный до перехода к регулированию с применением метода доходности нвестированного капитала, %</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3,9%</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5,2%</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6,5%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7,8%</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10%</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Норма доходности на капитал, инвестированный после перехода к регулированию с применением метода доходности нвестированного капитала, %</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11%</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11%</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11%</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10%</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10%</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Срок возврата инвестированного капитала, лет</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35</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35</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35</w:t>
            </w:r>
          </w:p>
        </w:tc>
      </w:tr>
      <w:tr w:rsidR="00B07C8E" w:rsidRPr="00E165E8" w:rsidTr="000E5AD0">
        <w:tc>
          <w:tcPr>
            <w:tcW w:w="3270"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Индекс эффективности операционных расходов, %</w:t>
            </w:r>
          </w:p>
        </w:tc>
        <w:tc>
          <w:tcPr>
            <w:tcW w:w="141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 </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w:t>
            </w:r>
          </w:p>
        </w:tc>
        <w:tc>
          <w:tcPr>
            <w:tcW w:w="1335"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2%</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Коэффициент эластичности подконтрольных расходов по количеству активов, %</w:t>
            </w:r>
          </w:p>
        </w:tc>
        <w:tc>
          <w:tcPr>
            <w:tcW w:w="1410"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0,75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0,75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0,75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0,75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0,75</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Уровень надежности реализуемых товаров и услуг</w:t>
            </w:r>
          </w:p>
        </w:tc>
        <w:tc>
          <w:tcPr>
            <w:tcW w:w="1410"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 </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0,0490</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0,0483</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0,0475</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0,0468</w:t>
            </w:r>
          </w:p>
        </w:tc>
      </w:tr>
      <w:tr w:rsidR="00B07C8E" w:rsidRPr="00E165E8" w:rsidTr="000E5AD0">
        <w:tc>
          <w:tcPr>
            <w:tcW w:w="3270" w:type="dxa"/>
            <w:tcBorders>
              <w:top w:val="single" w:sz="6" w:space="0" w:color="999999"/>
              <w:left w:val="nil"/>
              <w:bottom w:val="nil"/>
              <w:right w:val="nil"/>
            </w:tcBorders>
            <w:noWrap/>
            <w:tcMar>
              <w:top w:w="150" w:type="dxa"/>
              <w:left w:w="75" w:type="dxa"/>
              <w:bottom w:w="150" w:type="dxa"/>
              <w:right w:w="75" w:type="dxa"/>
            </w:tcMar>
            <w:vAlign w:val="bottom"/>
          </w:tcPr>
          <w:p w:rsidR="00B07C8E" w:rsidRPr="000E5AD0" w:rsidRDefault="00B07C8E" w:rsidP="000E5AD0">
            <w:pPr>
              <w:spacing w:after="105" w:line="327" w:lineRule="atLeast"/>
              <w:textAlignment w:val="baseline"/>
              <w:rPr>
                <w:rFonts w:ascii="Times New Roman" w:hAnsi="Times New Roman"/>
                <w:sz w:val="17"/>
                <w:szCs w:val="17"/>
                <w:lang w:eastAsia="ru-RU"/>
              </w:rPr>
            </w:pPr>
            <w:r w:rsidRPr="000E5AD0">
              <w:rPr>
                <w:rFonts w:ascii="Times New Roman" w:hAnsi="Times New Roman"/>
                <w:sz w:val="17"/>
                <w:szCs w:val="17"/>
                <w:lang w:eastAsia="ru-RU"/>
              </w:rPr>
              <w:t>Уровень качества реализуемых товаров и услуг</w:t>
            </w:r>
          </w:p>
        </w:tc>
        <w:tc>
          <w:tcPr>
            <w:tcW w:w="1410"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105" w:line="327" w:lineRule="atLeast"/>
              <w:jc w:val="center"/>
              <w:textAlignment w:val="baseline"/>
              <w:rPr>
                <w:rFonts w:ascii="Times New Roman" w:hAnsi="Times New Roman"/>
                <w:sz w:val="17"/>
                <w:szCs w:val="17"/>
                <w:lang w:eastAsia="ru-RU"/>
              </w:rPr>
            </w:pPr>
            <w:r w:rsidRPr="000E5AD0">
              <w:rPr>
                <w:rFonts w:ascii="Times New Roman" w:hAnsi="Times New Roman"/>
                <w:sz w:val="17"/>
                <w:szCs w:val="17"/>
                <w:lang w:eastAsia="ru-RU"/>
              </w:rPr>
              <w:t> </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1,2599</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1,2410</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1,2224</w:t>
            </w:r>
          </w:p>
        </w:tc>
        <w:tc>
          <w:tcPr>
            <w:tcW w:w="1335" w:type="dxa"/>
            <w:tcBorders>
              <w:top w:val="single" w:sz="6" w:space="0" w:color="999999"/>
              <w:left w:val="nil"/>
              <w:bottom w:val="nil"/>
              <w:right w:val="nil"/>
            </w:tcBorders>
            <w:tcMar>
              <w:top w:w="150" w:type="dxa"/>
              <w:left w:w="75" w:type="dxa"/>
              <w:bottom w:w="150" w:type="dxa"/>
              <w:right w:w="75" w:type="dxa"/>
            </w:tcMar>
            <w:vAlign w:val="bottom"/>
          </w:tcPr>
          <w:p w:rsidR="00B07C8E" w:rsidRPr="000E5AD0" w:rsidRDefault="00B07C8E" w:rsidP="000E5AD0">
            <w:pPr>
              <w:spacing w:after="0" w:line="327" w:lineRule="atLeast"/>
              <w:jc w:val="center"/>
              <w:textAlignment w:val="baseline"/>
              <w:rPr>
                <w:rFonts w:ascii="Times New Roman" w:hAnsi="Times New Roman"/>
                <w:sz w:val="17"/>
                <w:szCs w:val="17"/>
                <w:lang w:eastAsia="ru-RU"/>
              </w:rPr>
            </w:pPr>
            <w:r w:rsidRPr="000E5AD0">
              <w:rPr>
                <w:rFonts w:ascii="Times New Roman" w:hAnsi="Times New Roman"/>
                <w:b/>
                <w:bCs/>
                <w:sz w:val="17"/>
                <w:szCs w:val="17"/>
                <w:lang w:eastAsia="ru-RU"/>
              </w:rPr>
              <w:t>1,2040</w:t>
            </w:r>
          </w:p>
        </w:tc>
      </w:tr>
    </w:tbl>
    <w:p w:rsidR="00B07C8E" w:rsidRPr="000E5AD0" w:rsidRDefault="00B07C8E" w:rsidP="000E5AD0">
      <w:pPr>
        <w:shd w:val="clear" w:color="auto" w:fill="FFFFFF"/>
        <w:spacing w:after="105" w:line="225" w:lineRule="atLeast"/>
        <w:textAlignment w:val="baseline"/>
        <w:rPr>
          <w:rFonts w:ascii="Arial" w:hAnsi="Arial" w:cs="Arial"/>
          <w:color w:val="333333"/>
          <w:sz w:val="17"/>
          <w:szCs w:val="17"/>
          <w:lang w:eastAsia="ru-RU"/>
        </w:rPr>
      </w:pPr>
      <w:r w:rsidRPr="000E5AD0">
        <w:rPr>
          <w:rFonts w:ascii="Arial" w:hAnsi="Arial" w:cs="Arial"/>
          <w:color w:val="333333"/>
          <w:sz w:val="17"/>
          <w:szCs w:val="17"/>
          <w:lang w:eastAsia="ru-RU"/>
        </w:rPr>
        <w:t> </w:t>
      </w:r>
    </w:p>
    <w:p w:rsidR="00B07C8E" w:rsidRDefault="00B07C8E">
      <w:bookmarkStart w:id="0" w:name="_GoBack"/>
      <w:bookmarkEnd w:id="0"/>
    </w:p>
    <w:sectPr w:rsidR="00B07C8E" w:rsidSect="00523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AD0"/>
    <w:rsid w:val="00032D5D"/>
    <w:rsid w:val="00035572"/>
    <w:rsid w:val="00042033"/>
    <w:rsid w:val="00055EA7"/>
    <w:rsid w:val="00063599"/>
    <w:rsid w:val="00072DCE"/>
    <w:rsid w:val="00084775"/>
    <w:rsid w:val="000878ED"/>
    <w:rsid w:val="000A51D0"/>
    <w:rsid w:val="000B1D48"/>
    <w:rsid w:val="000B523C"/>
    <w:rsid w:val="000D22EB"/>
    <w:rsid w:val="000D2682"/>
    <w:rsid w:val="000D49DC"/>
    <w:rsid w:val="000D5F15"/>
    <w:rsid w:val="000E0295"/>
    <w:rsid w:val="000E2747"/>
    <w:rsid w:val="000E5AD0"/>
    <w:rsid w:val="00101844"/>
    <w:rsid w:val="00107CF9"/>
    <w:rsid w:val="00110BD5"/>
    <w:rsid w:val="00113A1C"/>
    <w:rsid w:val="00113FAC"/>
    <w:rsid w:val="00120A34"/>
    <w:rsid w:val="00141D18"/>
    <w:rsid w:val="00163204"/>
    <w:rsid w:val="001647F1"/>
    <w:rsid w:val="00172B3E"/>
    <w:rsid w:val="00182F69"/>
    <w:rsid w:val="001A34C5"/>
    <w:rsid w:val="001D161C"/>
    <w:rsid w:val="001E1C80"/>
    <w:rsid w:val="001E3B7F"/>
    <w:rsid w:val="001F2FE6"/>
    <w:rsid w:val="00227CBC"/>
    <w:rsid w:val="00244850"/>
    <w:rsid w:val="00247E36"/>
    <w:rsid w:val="00261422"/>
    <w:rsid w:val="0026260B"/>
    <w:rsid w:val="002653D3"/>
    <w:rsid w:val="00271D59"/>
    <w:rsid w:val="00272B1B"/>
    <w:rsid w:val="0027383D"/>
    <w:rsid w:val="00274F74"/>
    <w:rsid w:val="002810D3"/>
    <w:rsid w:val="00284C38"/>
    <w:rsid w:val="00292255"/>
    <w:rsid w:val="002B0460"/>
    <w:rsid w:val="002D37F8"/>
    <w:rsid w:val="002D7482"/>
    <w:rsid w:val="002F7407"/>
    <w:rsid w:val="0031722B"/>
    <w:rsid w:val="003236AC"/>
    <w:rsid w:val="00324930"/>
    <w:rsid w:val="003364F9"/>
    <w:rsid w:val="00337A1B"/>
    <w:rsid w:val="00347150"/>
    <w:rsid w:val="00353E58"/>
    <w:rsid w:val="0036260D"/>
    <w:rsid w:val="003649D4"/>
    <w:rsid w:val="00391653"/>
    <w:rsid w:val="00397D57"/>
    <w:rsid w:val="003B7E74"/>
    <w:rsid w:val="003D4CE0"/>
    <w:rsid w:val="003E07EF"/>
    <w:rsid w:val="003E2A33"/>
    <w:rsid w:val="00421A15"/>
    <w:rsid w:val="004338A0"/>
    <w:rsid w:val="004531C7"/>
    <w:rsid w:val="004649BA"/>
    <w:rsid w:val="00481F01"/>
    <w:rsid w:val="0048330F"/>
    <w:rsid w:val="0049497B"/>
    <w:rsid w:val="0049507F"/>
    <w:rsid w:val="004A00B5"/>
    <w:rsid w:val="004E53C2"/>
    <w:rsid w:val="004F166C"/>
    <w:rsid w:val="00523B4C"/>
    <w:rsid w:val="00526142"/>
    <w:rsid w:val="00530E5B"/>
    <w:rsid w:val="00532576"/>
    <w:rsid w:val="00535A35"/>
    <w:rsid w:val="005573EE"/>
    <w:rsid w:val="00562B8E"/>
    <w:rsid w:val="00574591"/>
    <w:rsid w:val="00574BCA"/>
    <w:rsid w:val="005776C4"/>
    <w:rsid w:val="00586090"/>
    <w:rsid w:val="00586340"/>
    <w:rsid w:val="005A192D"/>
    <w:rsid w:val="005B2FBA"/>
    <w:rsid w:val="005B3E70"/>
    <w:rsid w:val="005B4165"/>
    <w:rsid w:val="005B660D"/>
    <w:rsid w:val="005C32F4"/>
    <w:rsid w:val="005C6020"/>
    <w:rsid w:val="005C655A"/>
    <w:rsid w:val="005D0029"/>
    <w:rsid w:val="005D39E5"/>
    <w:rsid w:val="005D4BDC"/>
    <w:rsid w:val="005E1E22"/>
    <w:rsid w:val="00600496"/>
    <w:rsid w:val="0060067C"/>
    <w:rsid w:val="00643F3C"/>
    <w:rsid w:val="00650EE8"/>
    <w:rsid w:val="00652100"/>
    <w:rsid w:val="00663BB9"/>
    <w:rsid w:val="006879D0"/>
    <w:rsid w:val="00687EF5"/>
    <w:rsid w:val="00694D5A"/>
    <w:rsid w:val="006956BE"/>
    <w:rsid w:val="006B0C19"/>
    <w:rsid w:val="006B274C"/>
    <w:rsid w:val="006C0CAB"/>
    <w:rsid w:val="006C0F15"/>
    <w:rsid w:val="006C69A1"/>
    <w:rsid w:val="006E6B16"/>
    <w:rsid w:val="00703B6C"/>
    <w:rsid w:val="00706FA5"/>
    <w:rsid w:val="00710538"/>
    <w:rsid w:val="00713C8A"/>
    <w:rsid w:val="007152C6"/>
    <w:rsid w:val="0072082C"/>
    <w:rsid w:val="00727C04"/>
    <w:rsid w:val="00732963"/>
    <w:rsid w:val="00742651"/>
    <w:rsid w:val="00742BB6"/>
    <w:rsid w:val="00761DD6"/>
    <w:rsid w:val="00776419"/>
    <w:rsid w:val="007C487D"/>
    <w:rsid w:val="007E6469"/>
    <w:rsid w:val="007E7574"/>
    <w:rsid w:val="007F0B50"/>
    <w:rsid w:val="007F2271"/>
    <w:rsid w:val="00802656"/>
    <w:rsid w:val="00814701"/>
    <w:rsid w:val="00844FA7"/>
    <w:rsid w:val="00865503"/>
    <w:rsid w:val="0087253E"/>
    <w:rsid w:val="00874ADD"/>
    <w:rsid w:val="0087526E"/>
    <w:rsid w:val="008828FC"/>
    <w:rsid w:val="00890502"/>
    <w:rsid w:val="0089136F"/>
    <w:rsid w:val="00894D17"/>
    <w:rsid w:val="008952A6"/>
    <w:rsid w:val="008952CA"/>
    <w:rsid w:val="008957C1"/>
    <w:rsid w:val="008C5063"/>
    <w:rsid w:val="008D7557"/>
    <w:rsid w:val="008E7F9C"/>
    <w:rsid w:val="008F1D36"/>
    <w:rsid w:val="00926D46"/>
    <w:rsid w:val="00926F14"/>
    <w:rsid w:val="00932133"/>
    <w:rsid w:val="00933A95"/>
    <w:rsid w:val="00944747"/>
    <w:rsid w:val="0094502A"/>
    <w:rsid w:val="0095423E"/>
    <w:rsid w:val="009604E2"/>
    <w:rsid w:val="00970844"/>
    <w:rsid w:val="00976CC9"/>
    <w:rsid w:val="00995ABB"/>
    <w:rsid w:val="009A76D9"/>
    <w:rsid w:val="009B636D"/>
    <w:rsid w:val="009C0456"/>
    <w:rsid w:val="009C161A"/>
    <w:rsid w:val="009C4B7F"/>
    <w:rsid w:val="009D48DE"/>
    <w:rsid w:val="009D7336"/>
    <w:rsid w:val="009E0EC3"/>
    <w:rsid w:val="009E59EB"/>
    <w:rsid w:val="009E5BEB"/>
    <w:rsid w:val="009F29DB"/>
    <w:rsid w:val="009F2B46"/>
    <w:rsid w:val="00A00F0B"/>
    <w:rsid w:val="00A16510"/>
    <w:rsid w:val="00A30BDA"/>
    <w:rsid w:val="00A37E46"/>
    <w:rsid w:val="00A46E85"/>
    <w:rsid w:val="00A4790F"/>
    <w:rsid w:val="00A5134C"/>
    <w:rsid w:val="00A526B6"/>
    <w:rsid w:val="00A5371C"/>
    <w:rsid w:val="00A55268"/>
    <w:rsid w:val="00A63048"/>
    <w:rsid w:val="00A6371E"/>
    <w:rsid w:val="00AB1B5E"/>
    <w:rsid w:val="00AC18D1"/>
    <w:rsid w:val="00AD0A3F"/>
    <w:rsid w:val="00AD6283"/>
    <w:rsid w:val="00AF0DEA"/>
    <w:rsid w:val="00B00481"/>
    <w:rsid w:val="00B07C8E"/>
    <w:rsid w:val="00B14B6A"/>
    <w:rsid w:val="00B22EC2"/>
    <w:rsid w:val="00B2343C"/>
    <w:rsid w:val="00B324DB"/>
    <w:rsid w:val="00B32BBB"/>
    <w:rsid w:val="00B376B8"/>
    <w:rsid w:val="00B47CBB"/>
    <w:rsid w:val="00B50217"/>
    <w:rsid w:val="00B60C62"/>
    <w:rsid w:val="00B63ED5"/>
    <w:rsid w:val="00B7095D"/>
    <w:rsid w:val="00B74B7D"/>
    <w:rsid w:val="00B750BD"/>
    <w:rsid w:val="00B80072"/>
    <w:rsid w:val="00B9554B"/>
    <w:rsid w:val="00B9670D"/>
    <w:rsid w:val="00BB2968"/>
    <w:rsid w:val="00BB4887"/>
    <w:rsid w:val="00BB5A00"/>
    <w:rsid w:val="00BC2C5D"/>
    <w:rsid w:val="00BC4935"/>
    <w:rsid w:val="00BC7739"/>
    <w:rsid w:val="00BD3C9F"/>
    <w:rsid w:val="00BE427D"/>
    <w:rsid w:val="00C01D57"/>
    <w:rsid w:val="00C06B39"/>
    <w:rsid w:val="00C26D43"/>
    <w:rsid w:val="00C4196D"/>
    <w:rsid w:val="00C574E5"/>
    <w:rsid w:val="00C61279"/>
    <w:rsid w:val="00C61E2C"/>
    <w:rsid w:val="00C66645"/>
    <w:rsid w:val="00C66FC3"/>
    <w:rsid w:val="00C77846"/>
    <w:rsid w:val="00C91B73"/>
    <w:rsid w:val="00C95351"/>
    <w:rsid w:val="00CA7769"/>
    <w:rsid w:val="00CA7A09"/>
    <w:rsid w:val="00CB6605"/>
    <w:rsid w:val="00CB6BF8"/>
    <w:rsid w:val="00CB7AF7"/>
    <w:rsid w:val="00CD16BC"/>
    <w:rsid w:val="00CD3873"/>
    <w:rsid w:val="00CE0AD3"/>
    <w:rsid w:val="00CE5B53"/>
    <w:rsid w:val="00CF0AD8"/>
    <w:rsid w:val="00D01708"/>
    <w:rsid w:val="00D12922"/>
    <w:rsid w:val="00D20622"/>
    <w:rsid w:val="00D2751A"/>
    <w:rsid w:val="00D36DEC"/>
    <w:rsid w:val="00D44DCE"/>
    <w:rsid w:val="00D5479D"/>
    <w:rsid w:val="00D62371"/>
    <w:rsid w:val="00D72715"/>
    <w:rsid w:val="00D76C03"/>
    <w:rsid w:val="00D80C1F"/>
    <w:rsid w:val="00D94C2A"/>
    <w:rsid w:val="00D97CB3"/>
    <w:rsid w:val="00DB044B"/>
    <w:rsid w:val="00DB4BCD"/>
    <w:rsid w:val="00DC4CD7"/>
    <w:rsid w:val="00DD7EA5"/>
    <w:rsid w:val="00DF5002"/>
    <w:rsid w:val="00E00D80"/>
    <w:rsid w:val="00E165E8"/>
    <w:rsid w:val="00E260D6"/>
    <w:rsid w:val="00E276A7"/>
    <w:rsid w:val="00E54CEF"/>
    <w:rsid w:val="00E5580A"/>
    <w:rsid w:val="00E56B64"/>
    <w:rsid w:val="00E75AA6"/>
    <w:rsid w:val="00E75B9F"/>
    <w:rsid w:val="00E8240F"/>
    <w:rsid w:val="00EB5249"/>
    <w:rsid w:val="00EC5D94"/>
    <w:rsid w:val="00ED05CF"/>
    <w:rsid w:val="00F00943"/>
    <w:rsid w:val="00F00D97"/>
    <w:rsid w:val="00F128AF"/>
    <w:rsid w:val="00F15627"/>
    <w:rsid w:val="00F25273"/>
    <w:rsid w:val="00F26FEF"/>
    <w:rsid w:val="00F527AF"/>
    <w:rsid w:val="00F570B1"/>
    <w:rsid w:val="00F60A5A"/>
    <w:rsid w:val="00F94F9B"/>
    <w:rsid w:val="00FA16B5"/>
    <w:rsid w:val="00FA1F68"/>
    <w:rsid w:val="00FA4C33"/>
    <w:rsid w:val="00FA55A7"/>
    <w:rsid w:val="00FB3995"/>
    <w:rsid w:val="00FB56F9"/>
    <w:rsid w:val="00FC0943"/>
    <w:rsid w:val="00FD21E3"/>
    <w:rsid w:val="00FD6FF7"/>
    <w:rsid w:val="00FE5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71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454</Words>
  <Characters>2590</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«Информация о корректировке тарифа на услуги по передаче электрической энергии по единой национальной (общероссийской) электрической сети, оказываемые ОАО "ФСК ЕЭС"»</dc:title>
  <dc:subject/>
  <dc:creator>Александр Печенкин</dc:creator>
  <cp:keywords/>
  <dc:description/>
  <cp:lastModifiedBy>User</cp:lastModifiedBy>
  <cp:revision>2</cp:revision>
  <dcterms:created xsi:type="dcterms:W3CDTF">2013-02-05T17:06:00Z</dcterms:created>
  <dcterms:modified xsi:type="dcterms:W3CDTF">2013-02-05T17:06:00Z</dcterms:modified>
</cp:coreProperties>
</file>